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055" cy="10669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ИНФОГРАФИКАНЫ АҚМОЛА ОБЛЫСЫНЫҢ БІЛІМ БАСҚАРМАСЫ ƏЗІРЛЕДІ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Əкімшілік персонал үшін кеңсе тауарларына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(табельдер, журналдар, бор, мақтау қағаздары жəне т.б.)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Оргтехника;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(картридж, барабан, шамдар жəне т.б.)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1400" w:right="1360"/>
        <w:spacing w:after="0" w:line="3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>Санитарлық тазалауға арналған құралдар; (жуу жəне шаруашылық заттарына)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ind w:left="1400" w:right="3120"/>
        <w:spacing w:after="0" w:line="3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>Материалдық қамтамасыз ету; (доп, торлар, арқан жəне т.б.)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Құрылыс материалдарына;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(бояу, тегістегіш, желім, эмульсия жəне т.б.)</w:t>
      </w:r>
    </w:p>
    <w:p>
      <w:pPr>
        <w:sectPr>
          <w:pgSz w:w="11900" w:h="16820" w:orient="portrait"/>
          <w:cols w:equalWidth="0" w:num="1">
            <w:col w:w="9020"/>
          </w:cols>
          <w:pgMar w:left="1440" w:top="320" w:right="1440" w:bottom="59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55865" cy="10680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ИНФОГРАФИКА ПОДГОТОВЛЕНА УПРАВЛЕНИЕМ ОБРАЗОВАНИЯ АКМОЛИНСКОЙ ОБЛАСТИ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left="1540"/>
        <w:spacing w:after="0" w:line="37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Канцелярские товары для административного персонала; (табели, журналы, мел, похвальные листы и т.д.)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1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Оргтехника;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(картридж, барабан, лампы и т.д.)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Моющие хозяйственные средства;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(для обеспечения чистоты, санитарной обработки)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1500" w:right="3540"/>
        <w:spacing w:after="0" w:line="3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>Материальное обеспечение; (мяч, сетка, канат и т.д.)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Строительные материалы;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</w:rPr>
        <w:t>(краска, шпатлевка, клей, эмульсия и т.д.)</w:t>
      </w:r>
    </w:p>
    <w:p>
      <w:pPr>
        <w:sectPr>
          <w:pgSz w:w="11900" w:h="16820" w:orient="portrait"/>
          <w:cols w:equalWidth="0" w:num="1">
            <w:col w:w="9240"/>
          </w:cols>
          <w:pgMar w:left="1320" w:top="299" w:right="1340" w:bottom="722" w:gutter="0" w:footer="0" w:header="0"/>
        </w:sect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1270</wp:posOffset>
            </wp:positionH>
            <wp:positionV relativeFrom="page">
              <wp:posOffset>0</wp:posOffset>
            </wp:positionV>
            <wp:extent cx="7555230" cy="106794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7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ИНФОГРАФИКАНЫ АҚМОЛА ОБЛЫСЫНЫҢ БІЛІМ БАСҚАРМАСЫ ƏЗІРЛЕДІ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ағымдағы жөндеуге;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банк қызметтеріне;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педагогикалық қызметкерлерді медициналық тексеруге;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күзетке;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қатты -тұрмыстық қалдықтарды шығаруға;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ғимаратты дезинфекциялауға эəне дератизациялауға;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өрт қауіпсіздігі дабылымен қызмет көрсетуге;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күзет дабылымен қызмет көрсетуге;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су электр қуаты, жылуды есептеу құрылғыларын тексеруге;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жерге тұйықтау құрылғысының кедергісін өлшеуге;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апаттық жағдайларды жою жəне желілерге қызмет көрсетуге;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ағынды-тарту жүйесіне қызмет көрсетуге;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кəріздерді тазалауға;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жылу құрылғыларының қыс мезгіліне дайындығын тексеруге;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картридждарды толтыруға;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сайтты сүйемелдеуге;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өрт сөндіргіштерді толтыруға;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антивирус бағдарламасын жаңарту;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лифтілердің техникалық қызметіне;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right="640" w:hanging="303"/>
        <w:spacing w:after="0" w:line="260" w:lineRule="auto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жылыту жүйесі мен су құбырын техникалық сараптауға, шаю мен сығуға;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дабыл құрылғыларына абоненттік қызмет көрсетуге;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1С бухгалтерлік бағдарламасының қызметіне, тарифтеуге;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0" w:hanging="303"/>
        <w:spacing w:after="0"/>
        <w:tabs>
          <w:tab w:leader="none" w:pos="4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кеңсе техникасын жөндеуге (картридж, барабан).</w:t>
      </w:r>
    </w:p>
    <w:p>
      <w:pPr>
        <w:sectPr>
          <w:pgSz w:w="11900" w:h="16820" w:orient="portrait"/>
          <w:cols w:equalWidth="0" w:num="1">
            <w:col w:w="9020"/>
          </w:cols>
          <w:pgMar w:left="1440" w:top="320" w:right="1440" w:bottom="653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55865" cy="10680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ИНФОГРАФИКА ПОДГОТОВЛЕНА УПРАВЛЕНИЕМ ОБРАЗОВАНИЯ АКМОЛИНСКОЙ ОБЛАСТИ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текущий ремонт;</w:t>
      </w:r>
    </w:p>
    <w:p>
      <w:pPr>
        <w:spacing w:after="0" w:line="4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банковские услуги;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медицинский осмотр педагогических работников;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охрана;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вывоз твердых бытовых отходов;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дезинфекция и дератизация здания;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обслуживание охранной сигнализации;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проверка приборов учёта воды, электроэнергии, тепла;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измерение сопротивлений заземляющего устройства;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локализация аварийных ситуаций и обслуживания сетей;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обслуживание приточно-вытяжной системы;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откачка канализации;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обследование теплоустановок по подготовке к зимнему периоду;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заправка картриджей;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сопровождение сайта;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заправка огнетушителей;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обновление антивируса;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техническое обслуживание лифтов;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right="940" w:hanging="295"/>
        <w:spacing w:after="0" w:line="268" w:lineRule="auto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техническая экспертиза, промывка и опрессовка отопительной системы и водопровода;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абонентское обслуживание тревожной сигнализации;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обслуживание бухгалтерских программ: 1 С, тарификация;</w:t>
      </w:r>
    </w:p>
    <w:p>
      <w:pPr>
        <w:spacing w:after="0" w:line="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0" w:hanging="295"/>
        <w:spacing w:after="0"/>
        <w:tabs>
          <w:tab w:leader="none" w:pos="5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ремонт оргтехники (картриджей, барабанов).</w:t>
      </w:r>
    </w:p>
    <w:p>
      <w:pPr>
        <w:sectPr>
          <w:pgSz w:w="11900" w:h="16820" w:orient="portrait"/>
          <w:cols w:equalWidth="0" w:num="1">
            <w:col w:w="9160"/>
          </w:cols>
          <w:pgMar w:left="1380" w:top="305" w:right="1360" w:bottom="7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1270</wp:posOffset>
            </wp:positionH>
            <wp:positionV relativeFrom="page">
              <wp:posOffset>0</wp:posOffset>
            </wp:positionV>
            <wp:extent cx="7555230" cy="10680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b w:val="1"/>
          <w:bCs w:val="1"/>
          <w:color w:val="auto"/>
        </w:rPr>
        <w:t>БАЛАБАҚШАДА БАЛАНЫ ТƏРБИЛЕУГЕ ЖҰМСАЛАТЫН ҚАРЖЫ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ИНФОГРАФИКАНЫ АҚМОЛА ОБЛЫСЫНЫҢ БІЛІМ БАСҚАРМАСЫ ƏЗІРЛЕДІ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5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БЮДЖЕТТЕН ҚАРЖЫЛАНДЫРЫЛАДЫ: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АТА-АНАЛАРДЫҢ ТӨЛЕМАҚЫСЫ:</w:t>
      </w:r>
    </w:p>
    <w:p>
      <w:pPr>
        <w:sectPr>
          <w:pgSz w:w="11900" w:h="16820" w:orient="portrait"/>
          <w:cols w:equalWidth="0" w:num="1">
            <w:col w:w="10020"/>
          </w:cols>
          <w:pgMar w:left="1000" w:top="1440" w:right="880" w:bottom="822" w:gutter="0" w:footer="0" w:header="0"/>
        </w:sect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қызметкерлердің еңбекақысы;</w:t>
      </w:r>
    </w:p>
    <w:p>
      <w:pPr>
        <w:spacing w:after="0" w:line="18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қызметкерлердің біліктілігін арттыру;</w:t>
      </w:r>
    </w:p>
    <w:p>
      <w:pPr>
        <w:spacing w:after="0" w:line="210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шаруашылық тауарларды сатып алу;</w:t>
      </w:r>
    </w:p>
    <w:p>
      <w:pPr>
        <w:spacing w:after="0" w:line="210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кеңсе тауарларын сатып алу</w:t>
      </w:r>
    </w:p>
    <w:p>
      <w:pPr>
        <w:spacing w:after="0" w:line="4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4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(білім беру үдерісінен тыс қажеттіліктерге);</w:t>
      </w:r>
    </w:p>
    <w:p>
      <w:pPr>
        <w:spacing w:after="0" w:line="141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40" w:right="200" w:hanging="131"/>
        <w:spacing w:after="0" w:line="297" w:lineRule="auto"/>
        <w:tabs>
          <w:tab w:leader="none" w:pos="153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материалдарды сатып алу (ойыншықтар, көрнекі құралдар, əдістемелік, балалар жəне көркем əдебиеттер);</w:t>
      </w:r>
    </w:p>
    <w:p>
      <w:pPr>
        <w:spacing w:after="0" w:line="7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дəрі-дермектер;</w:t>
      </w:r>
    </w:p>
    <w:p>
      <w:pPr>
        <w:spacing w:after="0" w:line="18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байланыс қызметтері;</w:t>
      </w:r>
    </w:p>
    <w:p>
      <w:pPr>
        <w:spacing w:after="0" w:line="18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ағымдағы жөндеу;</w:t>
      </w:r>
    </w:p>
    <w:p>
      <w:pPr>
        <w:spacing w:after="0" w:line="18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коммуналдық қызметтер;</w:t>
      </w:r>
    </w:p>
    <w:p>
      <w:pPr>
        <w:spacing w:after="0" w:line="18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өрт қауіпсіздігі дабылымен қызмет көрсету;</w:t>
      </w:r>
    </w:p>
    <w:p>
      <w:pPr>
        <w:spacing w:after="0" w:line="25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0" w:hanging="131"/>
        <w:spacing w:after="0"/>
        <w:tabs>
          <w:tab w:leader="none" w:pos="140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банк жəне күзет қызметтер;</w:t>
      </w:r>
    </w:p>
    <w:p>
      <w:pPr>
        <w:spacing w:after="0" w:line="18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40" w:right="300" w:hanging="131"/>
        <w:spacing w:after="0" w:line="297" w:lineRule="auto"/>
        <w:tabs>
          <w:tab w:leader="none" w:pos="153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апаттық қызмет, санитарлық-тезникалық қызмет көрсету, құбырларды шаю жəне қысыммен тексеру;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ind w:left="136" w:hanging="136"/>
        <w:spacing w:after="0"/>
        <w:tabs>
          <w:tab w:leader="none" w:pos="136" w:val="left"/>
        </w:tabs>
        <w:numPr>
          <w:ilvl w:val="0"/>
          <w:numId w:val="4"/>
        </w:numPr>
        <w:rPr>
          <w:rFonts w:ascii="Arial" w:cs="Arial" w:eastAsia="Arial" w:hAnsi="Arial"/>
          <w:sz w:val="27"/>
          <w:szCs w:val="27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тамақтандыру;</w:t>
      </w:r>
    </w:p>
    <w:p>
      <w:pPr>
        <w:spacing w:after="0" w:line="200" w:lineRule="exact"/>
        <w:rPr>
          <w:rFonts w:ascii="Arial" w:cs="Arial" w:eastAsia="Arial" w:hAnsi="Arial"/>
          <w:sz w:val="27"/>
          <w:szCs w:val="27"/>
          <w:color w:val="auto"/>
        </w:rPr>
      </w:pPr>
    </w:p>
    <w:p>
      <w:pPr>
        <w:spacing w:after="0" w:line="212" w:lineRule="exact"/>
        <w:rPr>
          <w:rFonts w:ascii="Arial" w:cs="Arial" w:eastAsia="Arial" w:hAnsi="Arial"/>
          <w:sz w:val="27"/>
          <w:szCs w:val="27"/>
          <w:color w:val="auto"/>
        </w:rPr>
      </w:pPr>
    </w:p>
    <w:p>
      <w:pPr>
        <w:ind w:left="116" w:hanging="116"/>
        <w:spacing w:after="0" w:line="377" w:lineRule="auto"/>
        <w:tabs>
          <w:tab w:leader="none" w:pos="128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ата-ана баланы келесі заттармен қамтамасыз етеді: (пластилин, картон, түсті қағаз, бояулар, түрлі-түсті қарындаштар, фломастерлер, сүрет альбомы, қайшы, желім жəне т.б.);</w:t>
      </w:r>
    </w:p>
    <w:p>
      <w:pPr>
        <w:spacing w:after="0" w:line="218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6" w:right="420" w:hanging="116"/>
        <w:spacing w:after="0" w:line="394" w:lineRule="auto"/>
        <w:tabs>
          <w:tab w:leader="none" w:pos="128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жоғары жəне дайындық топтарында сатып алуға ұсынылады жұмыс дəптерлері (оқытудың негізгі түрлері үшін);</w:t>
      </w:r>
    </w:p>
    <w:p>
      <w:pPr>
        <w:spacing w:after="0" w:line="20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36" w:hanging="136"/>
        <w:spacing w:after="0"/>
        <w:tabs>
          <w:tab w:leader="none" w:pos="136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қосымша ақылы қызметтер, соның ішінде:</w:t>
      </w:r>
    </w:p>
    <w:p>
      <w:pPr>
        <w:spacing w:after="0" w:line="85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56" w:right="260" w:hanging="131"/>
        <w:spacing w:after="0" w:line="279" w:lineRule="auto"/>
        <w:tabs>
          <w:tab w:leader="none" w:pos="268" w:val="left"/>
        </w:tabs>
        <w:numPr>
          <w:ilvl w:val="1"/>
          <w:numId w:val="4"/>
        </w:numPr>
        <w:rPr>
          <w:rFonts w:ascii="Arial" w:cs="Arial" w:eastAsia="Arial" w:hAnsi="Arial"/>
          <w:sz w:val="27"/>
          <w:szCs w:val="27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кезекші жəне демалыс күніндегі топтардың қызметі;</w:t>
      </w:r>
    </w:p>
    <w:p>
      <w:pPr>
        <w:spacing w:after="0" w:line="1" w:lineRule="exact"/>
        <w:rPr>
          <w:rFonts w:ascii="Arial" w:cs="Arial" w:eastAsia="Arial" w:hAnsi="Arial"/>
          <w:sz w:val="27"/>
          <w:szCs w:val="27"/>
          <w:color w:val="auto"/>
        </w:rPr>
      </w:pPr>
    </w:p>
    <w:p>
      <w:pPr>
        <w:ind w:left="256" w:right="20" w:hanging="131"/>
        <w:spacing w:after="0" w:line="332" w:lineRule="auto"/>
        <w:tabs>
          <w:tab w:leader="none" w:pos="268" w:val="left"/>
        </w:tabs>
        <w:numPr>
          <w:ilvl w:val="1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жəне басқа да оқыту мен дамыту қызметтері, (ата-аналардың қалауы бойынша шарттық негізде мектепке дейінгі тəрбие мен оқыту ұйымында тиісті жағдай жасалынғанына көрсетіледі).</w:t>
      </w:r>
    </w:p>
    <w:p>
      <w:pPr>
        <w:spacing w:after="0" w:line="423" w:lineRule="exact"/>
        <w:rPr>
          <w:sz w:val="20"/>
          <w:szCs w:val="20"/>
          <w:color w:val="auto"/>
        </w:rPr>
      </w:pPr>
    </w:p>
    <w:p>
      <w:pPr>
        <w:sectPr>
          <w:pgSz w:w="11900" w:h="16820" w:orient="portrait"/>
          <w:cols w:equalWidth="0" w:num="2">
            <w:col w:w="4740" w:space="284"/>
            <w:col w:w="4996"/>
          </w:cols>
          <w:pgMar w:left="1000" w:top="1440" w:right="880" w:bottom="822" w:gutter="0" w:footer="0" w:header="0"/>
          <w:type w:val="continuous"/>
        </w:sectPr>
      </w:pPr>
    </w:p>
    <w:p>
      <w:pPr>
        <w:ind w:left="140" w:hanging="132"/>
        <w:spacing w:after="0"/>
        <w:tabs>
          <w:tab w:leader="none" w:pos="140" w:val="left"/>
        </w:tabs>
        <w:numPr>
          <w:ilvl w:val="0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бөлмені жалға алу (шағын орталықтар үшін).</w:t>
      </w:r>
    </w:p>
    <w:p>
      <w:pPr>
        <w:sectPr>
          <w:pgSz w:w="11900" w:h="16820" w:orient="portrait"/>
          <w:cols w:equalWidth="0" w:num="1">
            <w:col w:w="10020"/>
          </w:cols>
          <w:pgMar w:left="1000" w:top="1440" w:right="880" w:bottom="822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1270</wp:posOffset>
            </wp:positionH>
            <wp:positionV relativeFrom="page">
              <wp:posOffset>0</wp:posOffset>
            </wp:positionV>
            <wp:extent cx="7555230" cy="10680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5"/>
          <w:szCs w:val="35"/>
          <w:b w:val="1"/>
          <w:bCs w:val="1"/>
          <w:color w:val="auto"/>
        </w:rPr>
        <w:t>СОДЕРЖАНИЕ РЕБЕНКА В ДЕТСКОМ САДУ</w:t>
      </w: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ИНФОГРАФИКА ПОДГОТОВЛЕНА УПРАВЛЕНИЕМ ОБРАЗОВАНИЯ АКМОЛИНСКОЙ ОБЛАСТИ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5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ФИНАНСИРОВАНИЕ ИЗ БЮДЖЕТА: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РОДИТЕЛЬСКАЯ ПЛАТА:</w:t>
      </w:r>
    </w:p>
    <w:p>
      <w:pPr>
        <w:sectPr>
          <w:pgSz w:w="11900" w:h="16820" w:orient="portrait"/>
          <w:cols w:equalWidth="0" w:num="1">
            <w:col w:w="10080"/>
          </w:cols>
          <w:pgMar w:left="980" w:top="1440" w:right="840" w:bottom="1128" w:gutter="0" w:footer="0" w:header="0"/>
        </w:sect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160" w:hanging="148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заработная плата работников;</w:t>
      </w:r>
    </w:p>
    <w:p>
      <w:pPr>
        <w:spacing w:after="0" w:line="19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8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повышение квалификации работников;</w:t>
      </w:r>
    </w:p>
    <w:p>
      <w:pPr>
        <w:spacing w:after="0" w:line="19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8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хозяйственные товары;</w:t>
      </w:r>
    </w:p>
    <w:p>
      <w:pPr>
        <w:spacing w:after="0" w:line="19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8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канцелярские товары</w:t>
      </w:r>
    </w:p>
    <w:p>
      <w:pPr>
        <w:spacing w:after="0" w:line="4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40"/>
        <w:spacing w:after="0" w:line="223" w:lineRule="auto"/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(на нужды не образовательного характера);</w:t>
      </w:r>
    </w:p>
    <w:p>
      <w:pPr>
        <w:spacing w:after="0" w:line="150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8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приобретение материалов</w:t>
      </w:r>
    </w:p>
    <w:p>
      <w:pPr>
        <w:spacing w:after="0" w:line="4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40"/>
        <w:spacing w:after="0" w:line="233" w:lineRule="auto"/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(игрушки, наглядные пособия, методическая, детская и художественная литература);</w:t>
      </w:r>
    </w:p>
    <w:p>
      <w:pPr>
        <w:spacing w:after="0" w:line="151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9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медикаменты;</w:t>
      </w:r>
    </w:p>
    <w:p>
      <w:pPr>
        <w:spacing w:after="0" w:line="19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9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услуги связи;</w:t>
      </w:r>
    </w:p>
    <w:p>
      <w:pPr>
        <w:spacing w:after="0" w:line="19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9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текущий ремонт;</w:t>
      </w:r>
    </w:p>
    <w:p>
      <w:pPr>
        <w:spacing w:after="0" w:line="19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9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коммунальные услуги;</w:t>
      </w:r>
    </w:p>
    <w:p>
      <w:pPr>
        <w:spacing w:after="0" w:line="19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9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обслуживание пожарной сигнализации;</w:t>
      </w:r>
    </w:p>
    <w:p>
      <w:pPr>
        <w:spacing w:after="0" w:line="19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60" w:hanging="149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банковские и охранные услуги;</w:t>
      </w:r>
    </w:p>
    <w:p>
      <w:pPr>
        <w:spacing w:after="0" w:line="194" w:lineRule="exact"/>
        <w:rPr>
          <w:rFonts w:ascii="Arial" w:cs="Arial" w:eastAsia="Arial" w:hAnsi="Arial"/>
          <w:sz w:val="26"/>
          <w:szCs w:val="26"/>
          <w:color w:val="auto"/>
        </w:rPr>
      </w:pPr>
    </w:p>
    <w:p>
      <w:pPr>
        <w:ind w:left="140" w:right="220" w:hanging="129"/>
        <w:spacing w:after="0" w:line="320" w:lineRule="auto"/>
        <w:tabs>
          <w:tab w:leader="none" w:pos="153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аварийная служба, санитарно-техническое обслуживание, промывка, опрессовка;</w:t>
      </w:r>
    </w:p>
    <w:p>
      <w:pPr>
        <w:spacing w:after="0" w:line="6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60" w:hanging="149"/>
        <w:spacing w:after="0"/>
        <w:tabs>
          <w:tab w:leader="none" w:pos="160" w:val="left"/>
        </w:tabs>
        <w:numPr>
          <w:ilvl w:val="0"/>
          <w:numId w:val="6"/>
        </w:numPr>
        <w:rPr>
          <w:rFonts w:ascii="Arial" w:cs="Arial" w:eastAsia="Arial" w:hAnsi="Arial"/>
          <w:sz w:val="26"/>
          <w:szCs w:val="26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аренда помещения (мини центры).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131" w:hanging="131"/>
        <w:spacing w:after="0"/>
        <w:tabs>
          <w:tab w:leader="none" w:pos="131" w:val="left"/>
        </w:tabs>
        <w:numPr>
          <w:ilvl w:val="0"/>
          <w:numId w:val="7"/>
        </w:numPr>
        <w:rPr>
          <w:rFonts w:ascii="Arial" w:cs="Arial" w:eastAsia="Arial" w:hAnsi="Arial"/>
          <w:sz w:val="25"/>
          <w:szCs w:val="25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питание;</w:t>
      </w:r>
    </w:p>
    <w:p>
      <w:pPr>
        <w:spacing w:after="0" w:line="387" w:lineRule="exact"/>
        <w:rPr>
          <w:rFonts w:ascii="Arial" w:cs="Arial" w:eastAsia="Arial" w:hAnsi="Arial"/>
          <w:sz w:val="25"/>
          <w:szCs w:val="25"/>
          <w:color w:val="auto"/>
        </w:rPr>
      </w:pPr>
    </w:p>
    <w:p>
      <w:pPr>
        <w:ind w:left="131" w:hanging="131"/>
        <w:spacing w:after="0" w:line="292" w:lineRule="auto"/>
        <w:tabs>
          <w:tab w:leader="none" w:pos="143" w:val="left"/>
        </w:tabs>
        <w:numPr>
          <w:ilvl w:val="0"/>
          <w:numId w:val="7"/>
        </w:numPr>
        <w:rPr>
          <w:rFonts w:ascii="Arial" w:cs="Arial" w:eastAsia="Arial" w:hAnsi="Arial"/>
          <w:sz w:val="25"/>
          <w:szCs w:val="25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родитель обеспечивает ребенка канцелярскими товарами (пластилин, картон, цветная бумага, краски, цветные карандаши, фломастеры, альбом для рисования, ножницы, клей и др.);</w:t>
      </w:r>
    </w:p>
    <w:p>
      <w:pPr>
        <w:spacing w:after="0" w:line="276" w:lineRule="exact"/>
        <w:rPr>
          <w:rFonts w:ascii="Arial" w:cs="Arial" w:eastAsia="Arial" w:hAnsi="Arial"/>
          <w:sz w:val="25"/>
          <w:szCs w:val="25"/>
          <w:color w:val="auto"/>
        </w:rPr>
      </w:pPr>
    </w:p>
    <w:p>
      <w:pPr>
        <w:ind w:left="131" w:hanging="131"/>
        <w:spacing w:after="0"/>
        <w:tabs>
          <w:tab w:leader="none" w:pos="131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рекомендуется приобретать для старших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131" w:right="240"/>
        <w:spacing w:after="0" w:line="3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и подготовительных групп рабочие тетради (по основным видам образовательной деятельности);</w:t>
      </w: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131" w:hanging="131"/>
        <w:spacing w:after="0"/>
        <w:tabs>
          <w:tab w:leader="none" w:pos="131" w:val="left"/>
        </w:tabs>
        <w:numPr>
          <w:ilvl w:val="0"/>
          <w:numId w:val="8"/>
        </w:numPr>
        <w:rPr>
          <w:rFonts w:ascii="Arial" w:cs="Arial" w:eastAsia="Arial" w:hAnsi="Arial"/>
          <w:sz w:val="25"/>
          <w:szCs w:val="25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дополнительные платные услуги:</w:t>
      </w:r>
    </w:p>
    <w:p>
      <w:pPr>
        <w:spacing w:after="0" w:line="50" w:lineRule="exact"/>
        <w:rPr>
          <w:rFonts w:ascii="Arial" w:cs="Arial" w:eastAsia="Arial" w:hAnsi="Arial"/>
          <w:sz w:val="25"/>
          <w:szCs w:val="25"/>
          <w:color w:val="auto"/>
        </w:rPr>
      </w:pPr>
    </w:p>
    <w:p>
      <w:pPr>
        <w:ind w:left="251" w:right="1140" w:hanging="125"/>
        <w:spacing w:after="0" w:line="281" w:lineRule="auto"/>
        <w:tabs>
          <w:tab w:leader="none" w:pos="263" w:val="left"/>
        </w:tabs>
        <w:numPr>
          <w:ilvl w:val="1"/>
          <w:numId w:val="8"/>
        </w:numPr>
        <w:rPr>
          <w:rFonts w:ascii="Arial" w:cs="Arial" w:eastAsia="Arial" w:hAnsi="Arial"/>
          <w:sz w:val="25"/>
          <w:szCs w:val="25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услуги дежурной группы и группы выходного дня;</w:t>
      </w:r>
    </w:p>
    <w:p>
      <w:pPr>
        <w:spacing w:after="0" w:line="1" w:lineRule="exact"/>
        <w:rPr>
          <w:rFonts w:ascii="Arial" w:cs="Arial" w:eastAsia="Arial" w:hAnsi="Arial"/>
          <w:sz w:val="25"/>
          <w:szCs w:val="25"/>
          <w:color w:val="auto"/>
        </w:rPr>
      </w:pPr>
    </w:p>
    <w:p>
      <w:pPr>
        <w:ind w:left="251" w:right="380" w:hanging="125"/>
        <w:spacing w:after="0" w:line="340" w:lineRule="auto"/>
        <w:tabs>
          <w:tab w:leader="none" w:pos="263" w:val="left"/>
        </w:tabs>
        <w:numPr>
          <w:ilvl w:val="1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другие услуги образовательного и развивающего характера, (предоставляются на договорной основе и по желанию родителей при созданных условиях в дошкольной организации).</w:t>
      </w:r>
    </w:p>
    <w:p>
      <w:pPr>
        <w:sectPr>
          <w:pgSz w:w="11900" w:h="16820" w:orient="portrait"/>
          <w:cols w:equalWidth="0" w:num="2">
            <w:col w:w="4960" w:space="169"/>
            <w:col w:w="4951"/>
          </w:cols>
          <w:pgMar w:left="980" w:top="1440" w:right="840" w:bottom="1128" w:gutter="0" w:footer="0" w:header="0"/>
          <w:type w:val="continuous"/>
        </w:sectPr>
      </w:pPr>
    </w:p>
    <w:p>
      <w:pPr>
        <w:jc w:val="center"/>
        <w:ind w:righ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895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ИНФОГРАФИКАНЫ АҚМОЛА ОБЛЫСЫНЫҢ БІЛІМ БАСҚАРМАСЫ ƏЗІРЛЕДІ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 w:line="29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0"/>
          <w:szCs w:val="50"/>
          <w:b w:val="1"/>
          <w:bCs w:val="1"/>
          <w:color w:val="FFFFFF"/>
        </w:rPr>
        <w:t>БІЛІМ БЕРУ САЛАСЫНДАҒЫ ҚАЗАҚСТАН РЕСПУБЛИКАСЫНЫҢ ЗАҢНАМАСЫ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180" w:hanging="175"/>
        <w:spacing w:after="0"/>
        <w:tabs>
          <w:tab w:leader="none" w:pos="180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Қазақстан Республикасының Конституциясы;</w:t>
      </w:r>
    </w:p>
    <w:p>
      <w:pPr>
        <w:spacing w:after="0" w:line="248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0" w:right="2900" w:hanging="155"/>
        <w:spacing w:after="0" w:line="248" w:lineRule="auto"/>
        <w:tabs>
          <w:tab w:leader="none" w:pos="176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Қазақстан Республикасының «Неке (ерлі-зайыптылық) жəне отбасы туралы» Кодексі;</w:t>
      </w:r>
    </w:p>
    <w:p>
      <w:pPr>
        <w:spacing w:after="0" w:line="189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0" w:hanging="176"/>
        <w:spacing w:after="0"/>
        <w:tabs>
          <w:tab w:leader="none" w:pos="180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Қазақстан Республикасының «Білім туралы» Заңы;</w:t>
      </w:r>
    </w:p>
    <w:p>
      <w:pPr>
        <w:spacing w:after="0" w:line="248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0" w:right="700" w:hanging="156"/>
        <w:spacing w:after="0" w:line="233" w:lineRule="auto"/>
        <w:tabs>
          <w:tab w:leader="none" w:pos="176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Қазақстан Республикасы Президентінің «Қазақстан Республикасында білім беруді жəне ғылымды дамытудың 2016 - 2019 жылдарға арналған мемлекеттік бағдарламасын бекіту туралы» Жарлығы;</w:t>
      </w:r>
    </w:p>
    <w:p>
      <w:pPr>
        <w:spacing w:after="0" w:line="20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0" w:right="380" w:hanging="156"/>
        <w:spacing w:after="0" w:line="228" w:lineRule="auto"/>
        <w:tabs>
          <w:tab w:leader="none" w:pos="176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Қазақстан Республикасы Үкіметінің «Азаматтық қызметшілерге, мемлекеттік бюджет қаражаты есебінен ұсталатын ұйымдардың қызметкерлеріне, қазыналық кəсіпорындардың қызметкерлеріне еңбекақы төлеу жүйесі туралы» Қаулысы;</w:t>
      </w:r>
    </w:p>
    <w:p>
      <w:pPr>
        <w:spacing w:after="0" w:line="20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0" w:right="540" w:hanging="157"/>
        <w:spacing w:after="0" w:line="228" w:lineRule="auto"/>
        <w:tabs>
          <w:tab w:leader="none" w:pos="176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Қазақстан Республикасы Үкіметінің «Мемлекеттік білім беру ұйымдары қызметкерлерінің үлгі штаттарын жəне педагог қызметкерлер мен оларға теңестірілген адамдар лауазымдарының тізбесін бекіту туралы» Қаулысы;</w:t>
      </w:r>
    </w:p>
    <w:p>
      <w:pPr>
        <w:spacing w:after="0" w:line="20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0" w:hanging="177"/>
        <w:spacing w:after="0"/>
        <w:tabs>
          <w:tab w:leader="none" w:pos="180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Қазақстан Республикасы Үкіметінің «Тиісті үлгідегі білім</w:t>
      </w:r>
    </w:p>
    <w:p>
      <w:pPr>
        <w:spacing w:after="0" w:line="4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0" w:right="420"/>
        <w:spacing w:after="0" w:line="212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беру ұйымдары қызметінің үлгілік қағидаларын, оның ішінде балаларға арналған қосымша білім беру бағдарламаларын іске асыратын білім беру ұйымдары қызметінің үлгілік қағидаларын бекіту туралы» Қаулысы;</w:t>
      </w:r>
    </w:p>
    <w:p>
      <w:pPr>
        <w:spacing w:after="0" w:line="20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0" w:hanging="178"/>
        <w:spacing w:after="0"/>
        <w:tabs>
          <w:tab w:leader="none" w:pos="180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Қазақстан Республикасы Білім жəне ғылым министрінің</w:t>
      </w:r>
    </w:p>
    <w:p>
      <w:pPr>
        <w:spacing w:after="0" w:line="4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0" w:right="1380"/>
        <w:spacing w:after="0" w:line="212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«Педагог қызметкерлер мен оларға теңестірілген тұлғалардың лауазымдарының үлгілік біліктілік сипаттамаларын бекіту туралы» Бұйрығы;</w:t>
      </w:r>
    </w:p>
    <w:p>
      <w:pPr>
        <w:spacing w:after="0" w:line="20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0" w:hanging="178"/>
        <w:spacing w:after="0"/>
        <w:tabs>
          <w:tab w:leader="none" w:pos="180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Қазақстан Республикасы Білім жəне ғылым министрінің</w:t>
      </w:r>
    </w:p>
    <w:p>
      <w:pPr>
        <w:spacing w:after="0" w:line="4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0"/>
        <w:spacing w:after="0" w:line="220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«Білім беру ұйымдары түрлерінің номенклатурасын бекіту туралы» Бұйрығы.</w:t>
      </w:r>
    </w:p>
    <w:p>
      <w:pPr>
        <w:sectPr>
          <w:pgSz w:w="11900" w:h="16838" w:orient="portrait"/>
          <w:cols w:equalWidth="0" w:num="1">
            <w:col w:w="10080"/>
          </w:cols>
          <w:pgMar w:left="980" w:top="328" w:right="846" w:bottom="379" w:gutter="0" w:footer="0" w:header="0"/>
        </w:sectPr>
      </w:pPr>
    </w:p>
    <w:p>
      <w:pPr>
        <w:ind w:left="40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895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ИНФОГРАФИКА ПОДГОТОВЛЕНА УПРАВЛЕНИЕМ ОБРАЗОВАНИЯ АКМОЛИНСКОЙ ОБЛАСТИ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b w:val="1"/>
          <w:bCs w:val="1"/>
          <w:color w:val="FFFFFF"/>
        </w:rPr>
        <w:t>ЗАКОНОДАТЕЛЬСТВО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1544" w:right="1420" w:hanging="142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FFFFFF"/>
        </w:rPr>
        <w:t>РЕСПУБЛИКИ КАЗАХСТАН В СФЕРЕ ОБРАЗОВАНИЯ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184" w:hanging="181"/>
        <w:spacing w:after="0"/>
        <w:tabs>
          <w:tab w:leader="none" w:pos="184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Конституция Республики Казахстан;</w:t>
      </w:r>
    </w:p>
    <w:p>
      <w:pPr>
        <w:spacing w:after="0" w:line="26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4" w:hanging="181"/>
        <w:spacing w:after="0"/>
        <w:tabs>
          <w:tab w:leader="none" w:pos="184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Кодекс Республики Казахстан «О браке (супружестве) и семье»;</w:t>
      </w:r>
    </w:p>
    <w:p>
      <w:pPr>
        <w:spacing w:after="0" w:line="26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4" w:hanging="181"/>
        <w:spacing w:after="0"/>
        <w:tabs>
          <w:tab w:leader="none" w:pos="184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Закон Республики Казахстан «Об образовании»;</w:t>
      </w:r>
    </w:p>
    <w:p>
      <w:pPr>
        <w:spacing w:after="0" w:line="26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4" w:hanging="181"/>
        <w:spacing w:after="0"/>
        <w:tabs>
          <w:tab w:leader="none" w:pos="184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Указ Президента Республики Казахстан</w:t>
      </w:r>
    </w:p>
    <w:p>
      <w:pPr>
        <w:spacing w:after="0" w:line="4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4" w:right="420"/>
        <w:spacing w:after="0" w:line="21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«Об утверждении Государственной программы развития образования и науки Республики Казахстан на 2016 - 2019 годы»;</w:t>
      </w:r>
    </w:p>
    <w:p>
      <w:pPr>
        <w:spacing w:after="0" w:line="21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4" w:right="580" w:hanging="162"/>
        <w:spacing w:after="0" w:line="231" w:lineRule="auto"/>
        <w:tabs>
          <w:tab w:leader="none" w:pos="181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Постановление Правительства Республики Казахстан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</w:t>
      </w:r>
    </w:p>
    <w:p>
      <w:pPr>
        <w:spacing w:after="0" w:line="21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4" w:hanging="182"/>
        <w:spacing w:after="0"/>
        <w:tabs>
          <w:tab w:leader="none" w:pos="184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Постановление Правительства Республики Казахстан</w:t>
      </w:r>
    </w:p>
    <w:p>
      <w:pPr>
        <w:spacing w:after="0" w:line="4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164" w:right="560"/>
        <w:spacing w:after="0" w:line="21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лиц»;</w:t>
      </w:r>
    </w:p>
    <w:p>
      <w:pPr>
        <w:spacing w:after="0" w:line="21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4" w:hanging="183"/>
        <w:spacing w:after="0"/>
        <w:tabs>
          <w:tab w:leader="none" w:pos="184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Постановление Правительства Республики Казахстан</w:t>
      </w:r>
    </w:p>
    <w:p>
      <w:pPr>
        <w:spacing w:after="0" w:line="4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4" w:right="960"/>
        <w:spacing w:after="0" w:line="21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детей»;</w:t>
      </w:r>
    </w:p>
    <w:p>
      <w:pPr>
        <w:spacing w:after="0" w:line="21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4" w:hanging="163"/>
        <w:spacing w:after="0" w:line="236" w:lineRule="auto"/>
        <w:tabs>
          <w:tab w:leader="none" w:pos="181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Приказ Министра образования и науки Республики Казахстан «Об утверждении Типовых квалификационных характеристик должностей педагогических работников и приравненных к ним лиц»;</w:t>
      </w:r>
    </w:p>
    <w:p>
      <w:pPr>
        <w:spacing w:after="0" w:line="2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84" w:hanging="184"/>
        <w:spacing w:after="0"/>
        <w:tabs>
          <w:tab w:leader="none" w:pos="184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Приказ Министра образования и науки Республики Казахстан</w:t>
      </w:r>
    </w:p>
    <w:p>
      <w:pPr>
        <w:spacing w:after="0" w:line="4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4"/>
        <w:spacing w:after="0" w:line="21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«Об утверждении номенклатуры видов организаций образования».</w:t>
      </w:r>
    </w:p>
    <w:p>
      <w:pPr>
        <w:sectPr>
          <w:pgSz w:w="11900" w:h="16838" w:orient="portrait"/>
          <w:cols w:equalWidth="0" w:num="1">
            <w:col w:w="10044"/>
          </w:cols>
          <w:pgMar w:left="976" w:top="314" w:right="886" w:bottom="459" w:gutter="0" w:footer="0" w:header="0"/>
        </w:sectPr>
      </w:pPr>
    </w:p>
    <w:sectPr>
      <w:pgSz w:w="11906" w:h="16838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џ"/>
      <w:numFmt w:val="bullet"/>
      <w:start w:val="1"/>
    </w:lvl>
  </w:abstractNum>
  <w:abstractNum w:abstractNumId="1">
    <w:nsid w:val="6DF1"/>
    <w:multiLevelType w:val="hybridMultilevel"/>
    <w:lvl w:ilvl="0">
      <w:lvlJc w:val="left"/>
      <w:lvlText w:val="џ"/>
      <w:numFmt w:val="bullet"/>
      <w:start w:val="1"/>
    </w:lvl>
  </w:abstractNum>
  <w:abstractNum w:abstractNumId="2">
    <w:nsid w:val="5AF1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41BB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4">
    <w:nsid w:val="26E9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1EB"/>
    <w:multiLevelType w:val="hybridMultilevel"/>
    <w:lvl w:ilvl="0">
      <w:lvlJc w:val="left"/>
      <w:lvlText w:val="-"/>
      <w:numFmt w:val="bullet"/>
      <w:start w:val="1"/>
    </w:lvl>
  </w:abstractNum>
  <w:abstractNum w:abstractNumId="6">
    <w:nsid w:val="BB3"/>
    <w:multiLevelType w:val="hybridMultilevel"/>
    <w:lvl w:ilvl="0">
      <w:lvlJc w:val="left"/>
      <w:lvlText w:val="-"/>
      <w:numFmt w:val="bullet"/>
      <w:start w:val="1"/>
    </w:lvl>
  </w:abstractNum>
  <w:abstractNum w:abstractNumId="7">
    <w:nsid w:val="2EA6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8">
    <w:nsid w:val="12DB"/>
    <w:multiLevelType w:val="hybridMultilevel"/>
    <w:lvl w:ilvl="0">
      <w:lvlJc w:val="left"/>
      <w:lvlText w:val="-"/>
      <w:numFmt w:val="bullet"/>
      <w:start w:val="1"/>
    </w:lvl>
  </w:abstractNum>
  <w:abstractNum w:abstractNumId="9">
    <w:nsid w:val="153C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2018-01-29T07:33:10Z</dcterms:created>
  <dcterms:modified xsi:type="dcterms:W3CDTF">2018-01-29T07:33:10Z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